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F1B86" w14:textId="219A800E" w:rsidR="00F81F8A" w:rsidRDefault="00E91D8D">
      <w:pPr>
        <w:spacing w:after="40" w:line="264" w:lineRule="auto"/>
        <w:jc w:val="center"/>
      </w:pPr>
      <w:r>
        <w:rPr>
          <w:b/>
          <w:bCs/>
          <w:sz w:val="18"/>
          <w:szCs w:val="18"/>
        </w:rPr>
        <w:t>Załącznik nr 3 do Oferty KPO4 (Oferta dostępu hurtowego) – ezbit s</w:t>
      </w:r>
      <w:r>
        <w:rPr>
          <w:b/>
          <w:bCs/>
          <w:sz w:val="18"/>
          <w:szCs w:val="18"/>
        </w:rPr>
        <w:t>p. z o.o.</w:t>
      </w:r>
    </w:p>
    <w:p w14:paraId="265F1B87" w14:textId="77777777" w:rsidR="00F81F8A" w:rsidRDefault="00E91D8D">
      <w:pPr>
        <w:spacing w:after="120" w:line="264" w:lineRule="auto"/>
        <w:jc w:val="center"/>
      </w:pPr>
      <w:r>
        <w:rPr>
          <w:i/>
          <w:iCs/>
          <w:sz w:val="18"/>
          <w:szCs w:val="18"/>
        </w:rPr>
        <w:t>Sieć KPO4 – umowa nr KPOD.05.02-IW.06-0173/25-00</w:t>
      </w:r>
    </w:p>
    <w:p w14:paraId="265F1B88" w14:textId="77777777" w:rsidR="00F81F8A" w:rsidRDefault="00E91D8D">
      <w:pPr>
        <w:spacing w:after="160"/>
        <w:jc w:val="center"/>
      </w:pPr>
      <w:r>
        <w:rPr>
          <w:b/>
          <w:bCs/>
          <w:sz w:val="24"/>
          <w:szCs w:val="24"/>
        </w:rPr>
        <w:t>Porozumienie o rezygnacji z prognoz BSA i LLU</w:t>
      </w:r>
    </w:p>
    <w:p w14:paraId="265F1B89" w14:textId="77777777" w:rsidR="00F81F8A" w:rsidRDefault="00E91D8D">
      <w:pPr>
        <w:spacing w:after="40" w:line="264" w:lineRule="auto"/>
        <w:jc w:val="center"/>
      </w:pPr>
      <w:r>
        <w:rPr>
          <w:b/>
          <w:bCs/>
        </w:rPr>
        <w:t>WZÓR</w:t>
      </w:r>
    </w:p>
    <w:p w14:paraId="265F1B8A" w14:textId="77777777" w:rsidR="00F81F8A" w:rsidRDefault="00E91D8D">
      <w:pPr>
        <w:spacing w:after="40" w:line="264" w:lineRule="auto"/>
        <w:jc w:val="both"/>
      </w:pPr>
      <w:r>
        <w:rPr>
          <w:b/>
          <w:bCs/>
        </w:rPr>
        <w:t xml:space="preserve">OSD: </w:t>
      </w:r>
      <w:r>
        <w:t>ezbit Sp. z o.o., ul. Piłsudskiego 8, 37-200 Przeworsk, KRS 0000779120, NIP 7941827066, REGON 382975895, nr w rejestrze przedsiębiorców telekomunikacyjnych: 5926</w:t>
      </w:r>
    </w:p>
    <w:p w14:paraId="265F1B8B" w14:textId="77777777" w:rsidR="00F81F8A" w:rsidRDefault="00E91D8D">
      <w:pPr>
        <w:spacing w:after="160" w:line="264" w:lineRule="auto"/>
        <w:jc w:val="both"/>
      </w:pPr>
      <w:r>
        <w:t xml:space="preserve">Umowa ramowa nr </w:t>
      </w:r>
      <w:r>
        <w:rPr>
          <w:highlight w:val="yellow"/>
        </w:rPr>
        <w:t>…/HURT/KPO</w:t>
      </w:r>
      <w:r>
        <w:t xml:space="preserve">   z dnia </w:t>
      </w:r>
      <w:r>
        <w:rPr>
          <w:highlight w:val="yellow"/>
        </w:rPr>
        <w:t>……………………</w:t>
      </w:r>
    </w:p>
    <w:p w14:paraId="265F1B8C" w14:textId="77777777" w:rsidR="00F81F8A" w:rsidRDefault="00E91D8D">
      <w:pPr>
        <w:spacing w:after="120" w:line="264" w:lineRule="auto"/>
        <w:jc w:val="both"/>
      </w:pPr>
      <w:r>
        <w:t xml:space="preserve">zawarte pomiędzy OSD: ezbit Sp. z o.o., ul. Piłsudskiego 8, 37-200 Przeworsk, KRS 0000779120, NIP 7941827066, REGON 382975895, nr w rejestrze przedsiębiorców telekomunikacyjnych: 5926 a OK: </w:t>
      </w:r>
      <w:r>
        <w:rPr>
          <w:highlight w:val="yellow"/>
        </w:rPr>
        <w:t>…………………………………………………</w:t>
      </w:r>
      <w:r>
        <w:t>.</w:t>
      </w:r>
    </w:p>
    <w:p w14:paraId="265F1B8D" w14:textId="77777777" w:rsidR="00F81F8A" w:rsidRDefault="00E91D8D">
      <w:pPr>
        <w:spacing w:before="120" w:after="40" w:line="264" w:lineRule="auto"/>
        <w:jc w:val="center"/>
      </w:pPr>
      <w:r>
        <w:rPr>
          <w:b/>
          <w:bCs/>
        </w:rPr>
        <w:t>§ 1</w:t>
      </w:r>
    </w:p>
    <w:p w14:paraId="265F1B8E" w14:textId="77777777" w:rsidR="00F81F8A" w:rsidRDefault="00E91D8D">
      <w:pPr>
        <w:spacing w:after="120" w:line="264" w:lineRule="auto"/>
        <w:jc w:val="both"/>
      </w:pPr>
      <w:r>
        <w:t>1. Strony, działając na podstawie postanowień Oferty KPO4 oraz Rozdziału 16 Umowy ramowej (Prognozy dla usług BSA i LLU), zgodnie postanawiają, że OK rezygnuje z obowiązku przekazywania Prognoz dla usług BSA i LLU.</w:t>
      </w:r>
    </w:p>
    <w:p w14:paraId="265F1B8F" w14:textId="77777777" w:rsidR="00F81F8A" w:rsidRDefault="00E91D8D">
      <w:pPr>
        <w:spacing w:after="120" w:line="264" w:lineRule="auto"/>
        <w:jc w:val="both"/>
      </w:pPr>
      <w:r>
        <w:t>2. Rezygnacja z Prognoz nie zwalnia Stron z pozostałych obowiązków wynikających z Umowy ramowej i Oferty KPO4, w szczególności dotyczących składania Zamówień i rozliczeń.</w:t>
      </w:r>
    </w:p>
    <w:p w14:paraId="265F1B90" w14:textId="77777777" w:rsidR="00F81F8A" w:rsidRDefault="00E91D8D">
      <w:pPr>
        <w:spacing w:after="120" w:line="264" w:lineRule="auto"/>
        <w:jc w:val="both"/>
      </w:pPr>
      <w:r>
        <w:t>3. Strony potwierdzają, że rezygnacja z Prognoz nie wpływa na zasady ustalania Zabezpieczeń w zakresie nieobjętym odrębnym porozumieniem.</w:t>
      </w:r>
    </w:p>
    <w:p w14:paraId="265F1B91" w14:textId="77777777" w:rsidR="00F81F8A" w:rsidRDefault="00E91D8D">
      <w:pPr>
        <w:spacing w:before="120" w:after="40" w:line="264" w:lineRule="auto"/>
        <w:jc w:val="center"/>
      </w:pPr>
      <w:r>
        <w:rPr>
          <w:b/>
          <w:bCs/>
        </w:rPr>
        <w:t>§ 2</w:t>
      </w:r>
    </w:p>
    <w:p w14:paraId="265F1B92" w14:textId="77777777" w:rsidR="00F81F8A" w:rsidRDefault="00E91D8D">
      <w:pPr>
        <w:spacing w:after="120" w:line="264" w:lineRule="auto"/>
        <w:jc w:val="both"/>
      </w:pPr>
      <w:r>
        <w:t>Porozumienie wchodzi w życie z dniem podpisania przez obie Strony i obowiązuje przez okres obowiązywania Umowy ramowej, chyba że Strony postanowią inaczej.</w:t>
      </w:r>
    </w:p>
    <w:p w14:paraId="265F1B93" w14:textId="77777777" w:rsidR="00F81F8A" w:rsidRDefault="00F81F8A">
      <w:pPr>
        <w:spacing w:after="200" w:line="264" w:lineRule="auto"/>
        <w:jc w:val="both"/>
      </w:pPr>
    </w:p>
    <w:tbl>
      <w:tblPr>
        <w:tblW w:w="9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F81F8A" w14:paraId="265F1B96" w14:textId="77777777">
        <w:tblPrEx>
          <w:tblCellMar>
            <w:top w:w="0" w:type="dxa"/>
            <w:bottom w:w="0" w:type="dxa"/>
          </w:tblCellMar>
        </w:tblPrEx>
        <w:tc>
          <w:tcPr>
            <w:tcW w:w="4535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65F1B94" w14:textId="77777777" w:rsidR="00F81F8A" w:rsidRDefault="00E91D8D">
            <w:pPr>
              <w:spacing w:line="252" w:lineRule="auto"/>
            </w:pPr>
            <w:r>
              <w:rPr>
                <w:sz w:val="18"/>
                <w:szCs w:val="18"/>
              </w:rPr>
              <w:t>OSD</w:t>
            </w:r>
          </w:p>
        </w:tc>
        <w:tc>
          <w:tcPr>
            <w:tcW w:w="4535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65F1B95" w14:textId="77777777" w:rsidR="00F81F8A" w:rsidRDefault="00E91D8D">
            <w:pPr>
              <w:spacing w:line="252" w:lineRule="auto"/>
            </w:pPr>
            <w:r>
              <w:rPr>
                <w:sz w:val="18"/>
                <w:szCs w:val="18"/>
              </w:rPr>
              <w:t>OK</w:t>
            </w:r>
          </w:p>
        </w:tc>
      </w:tr>
      <w:tr w:rsidR="00F81F8A" w14:paraId="265F1B99" w14:textId="77777777">
        <w:tblPrEx>
          <w:tblCellMar>
            <w:top w:w="0" w:type="dxa"/>
            <w:bottom w:w="0" w:type="dxa"/>
          </w:tblCellMar>
        </w:tblPrEx>
        <w:tc>
          <w:tcPr>
            <w:tcW w:w="4535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65F1B97" w14:textId="77777777" w:rsidR="00F81F8A" w:rsidRDefault="00E91D8D">
            <w:pPr>
              <w:spacing w:line="252" w:lineRule="auto"/>
            </w:pPr>
            <w:r>
              <w:rPr>
                <w:sz w:val="18"/>
                <w:szCs w:val="18"/>
              </w:rPr>
              <w:t xml:space="preserve">  ……………………………………… (data i podpis)</w:t>
            </w:r>
          </w:p>
        </w:tc>
        <w:tc>
          <w:tcPr>
            <w:tcW w:w="4535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265F1B98" w14:textId="77777777" w:rsidR="00F81F8A" w:rsidRDefault="00E91D8D">
            <w:pPr>
              <w:spacing w:line="252" w:lineRule="auto"/>
            </w:pPr>
            <w:r>
              <w:rPr>
                <w:sz w:val="18"/>
                <w:szCs w:val="18"/>
              </w:rPr>
              <w:t xml:space="preserve">  ……………………………………… (data i podpis)</w:t>
            </w:r>
          </w:p>
        </w:tc>
      </w:tr>
    </w:tbl>
    <w:p w14:paraId="265F1B9A" w14:textId="77777777" w:rsidR="00E91D8D" w:rsidRDefault="00E91D8D"/>
    <w:sectPr w:rsidR="00000000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D35B3" w14:textId="77777777" w:rsidR="00E91D8D" w:rsidRDefault="00E91D8D" w:rsidP="00E91D8D">
      <w:r>
        <w:separator/>
      </w:r>
    </w:p>
  </w:endnote>
  <w:endnote w:type="continuationSeparator" w:id="0">
    <w:p w14:paraId="40FAF300" w14:textId="77777777" w:rsidR="00E91D8D" w:rsidRDefault="00E91D8D" w:rsidP="00E91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D0698" w14:textId="77777777" w:rsidR="00E91D8D" w:rsidRDefault="00E91D8D" w:rsidP="00E91D8D">
      <w:r>
        <w:separator/>
      </w:r>
    </w:p>
  </w:footnote>
  <w:footnote w:type="continuationSeparator" w:id="0">
    <w:p w14:paraId="067CFD2A" w14:textId="77777777" w:rsidR="00E91D8D" w:rsidRDefault="00E91D8D" w:rsidP="00E91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F6D84" w14:textId="352E189E" w:rsidR="00E91D8D" w:rsidRDefault="00E91D8D">
    <w:pPr>
      <w:pStyle w:val="Nagwek"/>
    </w:pPr>
    <w:r>
      <w:rPr>
        <w:noProof/>
      </w:rPr>
      <w:drawing>
        <wp:inline distT="0" distB="0" distL="0" distR="0" wp14:anchorId="44733951" wp14:editId="136AC30D">
          <wp:extent cx="5733415" cy="735167"/>
          <wp:effectExtent l="0" t="0" r="635" b="8255"/>
          <wp:docPr id="260" name="Obraz 2" descr="C:\Users\Piotr Jankowski\AppData\Local\Packages\Microsoft.Windows.Photos_8wekyb3d8bbwe\TempState\ShareServiceTempFolder\KPO_barwy RP_NextGenerationEU_poziom_zestawienie_podstawowe_ RGB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iotr Jankowski\AppData\Local\Packages\Microsoft.Windows.Photos_8wekyb3d8bbwe\TempState\ShareServiceTempFolder\KPO_barwy RP_NextGenerationEU_poziom_zestawienie_podstawowe_ RGB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735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F5431"/>
    <w:multiLevelType w:val="hybridMultilevel"/>
    <w:tmpl w:val="30409366"/>
    <w:lvl w:ilvl="0" w:tplc="218A010A">
      <w:start w:val="1"/>
      <w:numFmt w:val="bullet"/>
      <w:lvlText w:val="●"/>
      <w:lvlJc w:val="left"/>
      <w:pPr>
        <w:ind w:left="720" w:hanging="360"/>
      </w:pPr>
    </w:lvl>
    <w:lvl w:ilvl="1" w:tplc="37B68AB6">
      <w:start w:val="1"/>
      <w:numFmt w:val="bullet"/>
      <w:lvlText w:val="○"/>
      <w:lvlJc w:val="left"/>
      <w:pPr>
        <w:ind w:left="1440" w:hanging="360"/>
      </w:pPr>
    </w:lvl>
    <w:lvl w:ilvl="2" w:tplc="D11EE760">
      <w:start w:val="1"/>
      <w:numFmt w:val="bullet"/>
      <w:lvlText w:val="■"/>
      <w:lvlJc w:val="left"/>
      <w:pPr>
        <w:ind w:left="2160" w:hanging="360"/>
      </w:pPr>
    </w:lvl>
    <w:lvl w:ilvl="3" w:tplc="1434773C">
      <w:start w:val="1"/>
      <w:numFmt w:val="bullet"/>
      <w:lvlText w:val="●"/>
      <w:lvlJc w:val="left"/>
      <w:pPr>
        <w:ind w:left="2880" w:hanging="360"/>
      </w:pPr>
    </w:lvl>
    <w:lvl w:ilvl="4" w:tplc="C5D64E50">
      <w:start w:val="1"/>
      <w:numFmt w:val="bullet"/>
      <w:lvlText w:val="○"/>
      <w:lvlJc w:val="left"/>
      <w:pPr>
        <w:ind w:left="3600" w:hanging="360"/>
      </w:pPr>
    </w:lvl>
    <w:lvl w:ilvl="5" w:tplc="AD2C0600">
      <w:start w:val="1"/>
      <w:numFmt w:val="bullet"/>
      <w:lvlText w:val="■"/>
      <w:lvlJc w:val="left"/>
      <w:pPr>
        <w:ind w:left="4320" w:hanging="360"/>
      </w:pPr>
    </w:lvl>
    <w:lvl w:ilvl="6" w:tplc="89B6863C">
      <w:start w:val="1"/>
      <w:numFmt w:val="bullet"/>
      <w:lvlText w:val="●"/>
      <w:lvlJc w:val="left"/>
      <w:pPr>
        <w:ind w:left="5040" w:hanging="360"/>
      </w:pPr>
    </w:lvl>
    <w:lvl w:ilvl="7" w:tplc="2E247AFC">
      <w:start w:val="1"/>
      <w:numFmt w:val="bullet"/>
      <w:lvlText w:val="●"/>
      <w:lvlJc w:val="left"/>
      <w:pPr>
        <w:ind w:left="5760" w:hanging="360"/>
      </w:pPr>
    </w:lvl>
    <w:lvl w:ilvl="8" w:tplc="934E9FE6">
      <w:start w:val="1"/>
      <w:numFmt w:val="bullet"/>
      <w:lvlText w:val="●"/>
      <w:lvlJc w:val="left"/>
      <w:pPr>
        <w:ind w:left="6480" w:hanging="360"/>
      </w:pPr>
    </w:lvl>
  </w:abstractNum>
  <w:num w:numId="1" w16cid:durableId="208483189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F8A"/>
    <w:rsid w:val="00E91D8D"/>
    <w:rsid w:val="00EF754D"/>
    <w:rsid w:val="00F8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F1B86"/>
  <w15:docId w15:val="{99551D23-823A-415C-95A6-F76C7D4B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91D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1D8D"/>
  </w:style>
  <w:style w:type="paragraph" w:styleId="Stopka">
    <w:name w:val="footer"/>
    <w:basedOn w:val="Normalny"/>
    <w:link w:val="StopkaZnak"/>
    <w:uiPriority w:val="99"/>
    <w:unhideWhenUsed/>
    <w:rsid w:val="00E91D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1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Stanisław Dąbek</cp:lastModifiedBy>
  <cp:revision>2</cp:revision>
  <dcterms:created xsi:type="dcterms:W3CDTF">2026-08-07T08:18:00Z</dcterms:created>
  <dcterms:modified xsi:type="dcterms:W3CDTF">2026-08-07T08:19:00Z</dcterms:modified>
</cp:coreProperties>
</file>